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303523</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hint="eastAsia" w:ascii="Arial" w:hAnsi="Arial" w:eastAsia="宋体" w:cs="Arial"/>
          <w:b/>
          <w:bCs/>
          <w:kern w:val="0"/>
          <w:sz w:val="24"/>
          <w:szCs w:val="24"/>
        </w:rPr>
        <w:t>,</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17 -26 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bookmarkStart w:id="0" w:name="_GoBack"/>
      <w:bookmarkEnd w:id="0"/>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default" w:ascii="Arial" w:hAnsi="Arial" w:eastAsia="宋体" w:cs="Arial"/>
          <w:kern w:val="0"/>
          <w:sz w:val="18"/>
          <w:szCs w:val="18"/>
          <w:lang w:val="en-US" w:eastAsia="zh-CN"/>
        </w:rPr>
      </w:pPr>
      <w:r>
        <w:rPr>
          <w:rFonts w:hint="eastAsia" w:ascii="Arial" w:hAnsi="Arial" w:cs="Arial"/>
          <w:sz w:val="20"/>
          <w:szCs w:val="21"/>
        </w:rPr>
        <w:t xml:space="preserve">In </w:t>
      </w:r>
      <w:r>
        <w:rPr>
          <w:rFonts w:ascii="Arial" w:hAnsi="Arial" w:cs="Arial"/>
          <w:sz w:val="20"/>
          <w:szCs w:val="21"/>
        </w:rPr>
        <w:t>RAN</w:t>
      </w:r>
      <w:r>
        <w:rPr>
          <w:rFonts w:hint="eastAsia" w:ascii="Arial" w:hAnsi="Arial" w:cs="Arial"/>
          <w:sz w:val="20"/>
          <w:szCs w:val="21"/>
          <w:lang w:val="en-US" w:eastAsia="zh-CN"/>
        </w:rPr>
        <w:t>2</w:t>
      </w:r>
      <w:r>
        <w:rPr>
          <w:rFonts w:ascii="Arial" w:hAnsi="Arial" w:cs="Arial"/>
          <w:sz w:val="20"/>
          <w:szCs w:val="21"/>
        </w:rPr>
        <w:t>#</w:t>
      </w:r>
      <w:r>
        <w:rPr>
          <w:rFonts w:hint="eastAsia" w:ascii="Arial" w:hAnsi="Arial" w:cs="Arial"/>
          <w:sz w:val="20"/>
          <w:szCs w:val="21"/>
          <w:lang w:val="en-US" w:eastAsia="zh-CN"/>
        </w:rPr>
        <w:t>121 meeting [1]</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agreed to study the following potential solutions for AI/ML model transfer/delivery and use the pros/cons [2] as a starting point.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26"/>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Agreed: </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Aim to at least analyze the feasibility and benefits of model/transfer solutions based on the following: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1a: gNB can transfer/deliver AI/ML model(s) to UE via RRC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2a: CN (except LMF) can transfer/deliver AI/ML model(s) to UE via NAS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3a: LMF can transfer/deliver AI/ML model(s) to UE via LPP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1b: gNB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2b: CN (except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3b: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4: Server (e.g. OAM, OTT) can transfer/delivery AI/ML model(s) to UE (e.g. transparent to 3GPP).</w:t>
            </w:r>
          </w:p>
          <w:p>
            <w:pPr>
              <w:pStyle w:val="26"/>
              <w:tabs>
                <w:tab w:val="left" w:pos="1352"/>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The table can serve as starting point for continued discussion (but contains some parts that seems non consensus, e.g. delta configuration). </w:t>
            </w:r>
          </w:p>
          <w:p>
            <w:pPr>
              <w:pStyle w:val="21"/>
              <w:ind w:left="0" w:leftChars="0" w:firstLine="0" w:firstLineChars="0"/>
              <w:rPr>
                <w:rFonts w:hint="default" w:ascii="Arial" w:hAnsi="Arial" w:cs="Arial"/>
                <w:lang w:val="en-GB" w:eastAsia="en-GB"/>
              </w:rPr>
            </w:pPr>
          </w:p>
        </w:tc>
      </w:tr>
    </w:tbl>
    <w:p>
      <w:pPr>
        <w:widowControl/>
        <w:spacing w:before="120" w:beforeLines="50" w:after="180"/>
        <w:rPr>
          <w:rFonts w:hint="eastAsia" w:ascii="Arial" w:hAnsi="Arial" w:eastAsia="宋体" w:cs="Arial"/>
          <w:kern w:val="0"/>
          <w:szCs w:val="21"/>
        </w:rPr>
      </w:pPr>
    </w:p>
    <w:tbl>
      <w:tblPr>
        <w:tblStyle w:val="10"/>
        <w:tblW w:w="10939" w:type="dxa"/>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4262"/>
        <w:gridCol w:w="5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pPr>
              <w:spacing w:after="0"/>
              <w:rPr>
                <w:rFonts w:hint="default" w:ascii="Arial" w:hAnsi="Arial" w:cs="Arial" w:eastAsiaTheme="minorEastAsia"/>
                <w:b/>
                <w:sz w:val="18"/>
                <w:szCs w:val="18"/>
                <w:lang w:eastAsia="zh-CN"/>
              </w:rPr>
            </w:pPr>
          </w:p>
        </w:tc>
        <w:tc>
          <w:tcPr>
            <w:tcW w:w="4262"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Pros</w:t>
            </w:r>
          </w:p>
        </w:tc>
        <w:tc>
          <w:tcPr>
            <w:tcW w:w="5552"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3" w:hRule="atLeast"/>
        </w:trPr>
        <w:tc>
          <w:tcPr>
            <w:tcW w:w="1125"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1a</w:t>
            </w:r>
          </w:p>
        </w:tc>
        <w:tc>
          <w:tcPr>
            <w:tcW w:w="426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The existing RRC signaling solutions can be reused as baseline, at least including delta signaling and segementation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9. Additional security and verification may not be necessary as the UE already established security before the transfer is initiated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11. gNB can take the control of the AIML model transfer itself, which can not be achieved by traditional UP based solution</w:t>
            </w:r>
          </w:p>
          <w:p>
            <w:pPr>
              <w:spacing w:after="0"/>
              <w:rPr>
                <w:rFonts w:hint="default" w:ascii="Arial" w:hAnsi="Arial" w:cs="Arial" w:eastAsiaTheme="minorEastAsia"/>
                <w:sz w:val="18"/>
                <w:szCs w:val="18"/>
                <w:lang w:eastAsia="zh-CN"/>
              </w:rPr>
            </w:pPr>
          </w:p>
          <w:p>
            <w:pPr>
              <w:spacing w:after="0"/>
              <w:rPr>
                <w:rFonts w:hint="default" w:ascii="Arial" w:hAnsi="Arial" w:cs="Arial" w:eastAsiaTheme="minorEastAsia"/>
                <w:sz w:val="18"/>
                <w:szCs w:val="18"/>
                <w:lang w:eastAsia="zh-CN"/>
              </w:rPr>
            </w:pP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Maybe high control plane overhead, as a large model size may need segmentation/transmission/acknowledgment. This consumes critical configuration time for model transfer/delivery</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2a and 3a</w:t>
            </w:r>
          </w:p>
        </w:tc>
        <w:tc>
          <w:tcPr>
            <w:tcW w:w="426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Service continuity on model transfer/delivery is easy to achieve compared with Solution 1a</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Impacts on RAN2 may be limited (some companies think that LPP signalling is in RAN2 scope)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If NAS does the segmentation, it may introduce some overhead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1b</w:t>
            </w:r>
          </w:p>
        </w:tc>
        <w:tc>
          <w:tcPr>
            <w:tcW w:w="426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Compared with CP-based solutions, this Solution 1b can reduces control plane overhead, reduces overhead at gNB for model delivery/transfer</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Not compatible with current mobility procedure. Supporting model transfer during mobility is not so straightforward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2b and 3b</w:t>
            </w:r>
          </w:p>
        </w:tc>
        <w:tc>
          <w:tcPr>
            <w:tcW w:w="426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CP signalling is needed to configure and initiate the model transfer from the CN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May be unable to support delta-model transfer/delivery based on current user plane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4</w:t>
            </w:r>
          </w:p>
        </w:tc>
        <w:tc>
          <w:tcPr>
            <w:tcW w:w="426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5552"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There may be inter-operability issues, such as: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a)</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Different implementations may lead to different model performances and a huge burden of model management (e.g., frequent model activation/deactivation)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b)</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Massive offline coordination is needed or requires lots of coordinations among vendors, especially for the CSI compression use case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When network cannot control the model transfer/delivery, the transfer of large model may impact important and delay sensitive user data traffic</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w:t>
      </w:r>
      <w:r>
        <w:rPr>
          <w:rFonts w:ascii="Arial" w:hAnsi="Arial" w:eastAsia="宋体" w:cs="Arial"/>
          <w:kern w:val="0"/>
          <w:sz w:val="20"/>
          <w:szCs w:val="20"/>
          <w:lang w:val="en-GB"/>
        </w:rPr>
        <w:t xml:space="preserve"> </w:t>
      </w:r>
      <w:r>
        <w:rPr>
          <w:rFonts w:ascii="Arial" w:hAnsi="Arial" w:cs="Arial"/>
          <w:sz w:val="20"/>
          <w:szCs w:val="20"/>
        </w:rPr>
        <w:t xml:space="preserve">we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 xml:space="preserve">the </w:t>
      </w:r>
      <w:r>
        <w:rPr>
          <w:rFonts w:hint="eastAsia" w:ascii="Arial" w:hAnsi="Arial" w:cs="Arial"/>
          <w:sz w:val="20"/>
          <w:szCs w:val="20"/>
        </w:rPr>
        <w:t>potential i</w:t>
      </w:r>
      <w:r>
        <w:rPr>
          <w:rFonts w:hint="eastAsia" w:ascii="Arial" w:hAnsi="Arial" w:cs="Arial"/>
          <w:sz w:val="20"/>
          <w:szCs w:val="20"/>
          <w:lang w:val="en-US" w:eastAsia="zh-CN"/>
        </w:rPr>
        <w:t>ssues</w:t>
      </w:r>
      <w:r>
        <w:rPr>
          <w:rFonts w:hint="eastAsia" w:ascii="Arial" w:hAnsi="Arial" w:cs="Arial"/>
          <w:sz w:val="20"/>
          <w:szCs w:val="20"/>
        </w:rPr>
        <w:t xml:space="preserve"> </w:t>
      </w:r>
      <w:r>
        <w:rPr>
          <w:rFonts w:hint="eastAsia" w:ascii="Arial" w:hAnsi="Arial" w:eastAsia="宋体" w:cs="Arial"/>
          <w:kern w:val="0"/>
          <w:sz w:val="20"/>
          <w:szCs w:val="20"/>
        </w:rPr>
        <w:t xml:space="preserve">on </w:t>
      </w:r>
      <w:r>
        <w:rPr>
          <w:rFonts w:hint="eastAsia" w:ascii="Arial" w:hAnsi="Arial" w:eastAsia="宋体" w:cs="Arial"/>
          <w:kern w:val="0"/>
          <w:sz w:val="20"/>
          <w:szCs w:val="20"/>
          <w:lang w:val="en-US" w:eastAsia="zh-CN"/>
        </w:rPr>
        <w:t>AI/ML model transfer/delivery</w:t>
      </w:r>
      <w:r>
        <w:rPr>
          <w:rFonts w:ascii="Arial" w:hAnsi="Arial" w:eastAsia="宋体" w:cs="Arial"/>
          <w:kern w:val="0"/>
          <w:sz w:val="20"/>
          <w:szCs w:val="20"/>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the following relations between solutions and use cases.</w:t>
      </w: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sz w:val="20"/>
          <w:szCs w:val="20"/>
          <w:lang w:eastAsia="zh-CN"/>
        </w:rPr>
      </w:pPr>
      <w:r>
        <w:rPr>
          <w:rFonts w:hint="default" w:ascii="Arial" w:hAnsi="Arial" w:cs="Arial" w:eastAsiaTheme="minorEastAsia"/>
          <w:b/>
          <w:sz w:val="20"/>
          <w:szCs w:val="20"/>
          <w:lang w:eastAsia="zh-CN"/>
        </w:rPr>
        <w:t>Table: relations between solutions and use cases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8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Solutions</w:t>
            </w:r>
          </w:p>
        </w:tc>
        <w:tc>
          <w:tcPr>
            <w:tcW w:w="8187"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1a, 1b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2a, 2b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3a, 3b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4</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enhancement and beam management use case, CP-based and UP-based solutions between UE and gNB/CN is proposed. However, for CN involved solution (i.e. solution 2a and 2b), we think the motivation is still unclear, the use cases (i.e. CSI feedback and beam management) is purely over air interface which only involves UE and gNB, so it is tricky for CN to collect all necessary data for model training and perform model transfer. In addition, it is also hard for CN to understand the physical parameters and determine which AI/ML model is applicable for the specific use case. On the other hand, solution 2a and 2b need more works in other WGs (e.g. SA2, CT1).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propose to not consider CN involved solution (i.e. solution 2a and 2b) for CSI feedback enhancement and beam management in R18 SI.</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general, the UP-based solution can support the large size model transfer/delivery or transfer/delivery multiple models simultaneously, while the CP-based solution only is challenged due to the limited signaling size. However, for solution 1b, as many companies commented, existing user plane is not applicable since it terminates at UE and UPF. Some companies proposed that a new layer may be introduced to handle the AI model transfer functionality. This will change the basic protocol stack of NR which has significant impacts on overall structure and specs. We think the solution with basic protocol stack change is difficult to be implemented in 5G-A stage, and it is better to consider in early 6G stage. Of course, other solutions without basic protocol stack change can be further studied.</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For Solution 1b, the potential options with basic protocol stack change is not pursued in R18, and potential options without basic protocol stack change can be further studied for model transfer/delivery.</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solution 1a (i.e. RRC signaling between UE and gNB), the biggest challenge is to transfer a large size model, we think RAN2 can further discuss how to resolve this issue.</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discuss how to transfer a large size model via RRC signaling.</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training entity and pros of UP-based solution, we understand another solution (solution 2c) may be applicable for model transfer/delivery, i.e. the model is trained at gNB and delivered to CN, then CN transfer/delivery the model to the UE via UP-based solution. With this solution, CN is not required to be aware of the physical parameters, while can support the large model transfer/delivery, gNB can also be naturally responsible for the life cycle management of AI/ML models. Although this solution has more delay compared with solution 2a and 2b, it is applicable to transfer the offline training model which is latency insensitive for all use cases. We think this potential solution can be further discussed.</w:t>
      </w:r>
    </w:p>
    <w:p>
      <w:pPr>
        <w:widowControl/>
        <w:spacing w:before="120" w:beforeLines="50" w:after="180"/>
        <w:jc w:val="center"/>
      </w:pPr>
      <w:r>
        <w:drawing>
          <wp:inline distT="0" distB="0" distL="114300" distR="114300">
            <wp:extent cx="3225800" cy="21837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25800" cy="2183765"/>
                    </a:xfrm>
                    <a:prstGeom prst="rect">
                      <a:avLst/>
                    </a:prstGeom>
                    <a:noFill/>
                    <a:ln>
                      <a:noFill/>
                    </a:ln>
                  </pic:spPr>
                </pic:pic>
              </a:graphicData>
            </a:graphic>
          </wp:inline>
        </w:drawing>
      </w:r>
    </w:p>
    <w:p>
      <w:pPr>
        <w:widowControl/>
        <w:spacing w:before="120" w:beforeLines="50" w:after="180"/>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Figure 1: Basic flow for solution 2c -</w:t>
      </w:r>
      <w:r>
        <w:rPr>
          <w:rFonts w:hint="eastAsia" w:ascii="Arial" w:hAnsi="Arial" w:cs="Arial"/>
          <w:sz w:val="20"/>
          <w:szCs w:val="21"/>
          <w:lang w:val="en-US" w:eastAsia="zh-CN"/>
        </w:rPr>
        <w:t xml:space="preserve"> model training at gNB, model transfer/delivery from CN to UE</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take the solution 2c (i.e. the model is trained at gNB and delivered to CN, then CN transfer/delivery the model to the UE via UP-based solution) for further discussion.</w:t>
      </w:r>
    </w:p>
    <w:p>
      <w:pPr>
        <w:widowControl/>
        <w:spacing w:before="120" w:beforeLines="50" w:after="180"/>
        <w:jc w:val="both"/>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For positioning accuracy enhancement, solution 3a and 3b is feasible for model transfer/delivery, since LMF has the ability to collect data from multiple gNBs and UEs for the model training. However, some companies pointed that solution 3b is only included in SA2 TR 23.700-71, and it should be specified by SA2. Thus, we prefer to leave it open and wait until SA2 finishes the normative work on the UP solution. We think RAN2 can firstly focus on solution 3a.</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positioning accuracy enhancement, RAN2 focus on solution 3a firstly,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solution 4, it may be transparent to 3GPP and can be left to implementation. Although solution 4 has no spec impacts on model transfer/delivery, there may be some impacts on other LCM procedures, e.g. model identification, model control. The possible impacts can be further studied.</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RAN2 can further study the potential spec impacts on solution 4 for other LCM procedures.</w:t>
      </w:r>
    </w:p>
    <w:p>
      <w:pPr>
        <w:widowControl/>
        <w:spacing w:before="120" w:beforeLines="50" w:after="180"/>
        <w:jc w:val="both"/>
        <w:rPr>
          <w:rFonts w:hint="default" w:ascii="Arial" w:hAnsi="Arial" w:eastAsia="宋体" w:cs="Arial"/>
          <w:kern w:val="0"/>
          <w:sz w:val="20"/>
          <w:szCs w:val="20"/>
          <w:vertAlign w:val="baseline"/>
          <w:lang w:val="en-US" w:eastAsia="zh-CN"/>
        </w:rPr>
      </w:pPr>
      <w:r>
        <w:rPr>
          <w:rFonts w:hint="eastAsia" w:ascii="Arial" w:hAnsi="Arial" w:eastAsia="宋体" w:cs="Arial"/>
          <w:kern w:val="0"/>
          <w:sz w:val="20"/>
          <w:szCs w:val="20"/>
          <w:lang w:val="en-US" w:eastAsia="zh-CN"/>
        </w:rPr>
        <w:t xml:space="preserve">On the other hand, the previous discussion only involved the model transfer/delivery between the UE and network entities, but the model transfer/delivery between network entities is not discussed. We think it would be helpful to consider the model transfer/delivery within the network for the completeness of the solution. For example, RAN1 agreed to study the potential impacts at least for the following cases of positioning accuracy enhancement, including NG-RAN node assisted positioning with gNB-side model (i.e. case 3a). It is possible that the model training is at LMF, and the model is delivered to gNB.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before="120" w:beforeLines="50" w:after="180"/>
              <w:jc w:val="both"/>
              <w:rPr>
                <w:rFonts w:hint="default" w:ascii="Times New Roman" w:hAnsi="Times New Roman" w:eastAsia="等线" w:cs="Times New Roman"/>
                <w:sz w:val="20"/>
                <w:szCs w:val="21"/>
                <w:highlight w:val="green"/>
                <w:lang w:eastAsia="zh-CN"/>
              </w:rPr>
            </w:pPr>
            <w:r>
              <w:rPr>
                <w:rFonts w:hint="eastAsia" w:ascii="Times New Roman" w:hAnsi="Times New Roman" w:eastAsia="等线" w:cs="Times New Roman"/>
                <w:sz w:val="20"/>
                <w:szCs w:val="21"/>
                <w:highlight w:val="green"/>
                <w:lang w:val="en-US" w:eastAsia="zh-CN"/>
              </w:rPr>
              <w:t xml:space="preserve">RAN1#110bis </w:t>
            </w:r>
            <w:r>
              <w:rPr>
                <w:rFonts w:hint="default" w:ascii="Times New Roman" w:hAnsi="Times New Roman" w:eastAsia="等线" w:cs="Times New Roman"/>
                <w:sz w:val="20"/>
                <w:szCs w:val="21"/>
                <w:highlight w:val="green"/>
                <w:lang w:eastAsia="zh-CN"/>
              </w:rPr>
              <w:t>Agreement</w:t>
            </w:r>
          </w:p>
          <w:p>
            <w:pPr>
              <w:numPr>
                <w:ilvl w:val="0"/>
                <w:numId w:val="6"/>
              </w:numPr>
              <w:ind w:left="0" w:firstLine="0"/>
              <w:rPr>
                <w:rFonts w:hint="default" w:ascii="Times New Roman" w:hAnsi="Times New Roman" w:cs="Times New Roman"/>
                <w:sz w:val="20"/>
                <w:szCs w:val="21"/>
              </w:rPr>
            </w:pPr>
            <w:r>
              <w:rPr>
                <w:rFonts w:hint="default" w:ascii="Times New Roman" w:hAnsi="Times New Roman" w:cs="Times New Roman"/>
                <w:sz w:val="20"/>
                <w:szCs w:val="21"/>
              </w:rPr>
              <w:t>Study and provide inputs on benefit(s) and potential specification impact at least for the following cases of AI/ML based positioning accuracy enhancement</w:t>
            </w:r>
          </w:p>
          <w:p>
            <w:pPr>
              <w:numPr>
                <w:ilvl w:val="0"/>
                <w:numId w:val="7"/>
              </w:numPr>
              <w:rPr>
                <w:rFonts w:hint="default" w:ascii="Times New Roman" w:hAnsi="Times New Roman" w:cs="Times New Roman"/>
                <w:sz w:val="20"/>
                <w:szCs w:val="21"/>
              </w:rPr>
            </w:pPr>
            <w:r>
              <w:rPr>
                <w:rFonts w:hint="default" w:ascii="Times New Roman" w:hAnsi="Times New Roman" w:cs="Times New Roman"/>
                <w:sz w:val="20"/>
                <w:szCs w:val="21"/>
              </w:rPr>
              <w:t>Case 1: UE-based positioning with UE-side model, direct AI/ML or AI/ML assisted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2a: UE-assisted/LMF-based positioning with UE-side model, AI/ML assisted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2b: UE-assisted/LMF-based positioning with LMF-side model, direct AI/ML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3a: NG-RAN node assisted positioning with gNB-side model, AI/ML assisted positioning</w:t>
            </w:r>
          </w:p>
          <w:p>
            <w:pPr>
              <w:numPr>
                <w:ilvl w:val="0"/>
                <w:numId w:val="8"/>
              </w:numPr>
              <w:overflowPunct w:val="0"/>
              <w:autoSpaceDE w:val="0"/>
              <w:autoSpaceDN w:val="0"/>
              <w:adjustRightInd w:val="0"/>
              <w:spacing w:after="180"/>
              <w:contextualSpacing/>
              <w:textAlignment w:val="baseline"/>
              <w:rPr>
                <w:rFonts w:hint="default" w:ascii="Arial" w:hAnsi="Arial" w:eastAsia="宋体" w:cs="Arial"/>
                <w:kern w:val="0"/>
                <w:szCs w:val="21"/>
                <w:vertAlign w:val="baseline"/>
                <w:lang w:val="en-US" w:eastAsia="zh-CN"/>
              </w:rPr>
            </w:pPr>
            <w:r>
              <w:rPr>
                <w:rFonts w:hint="default" w:ascii="Times New Roman" w:hAnsi="Times New Roman" w:cs="Times New Roman"/>
                <w:sz w:val="20"/>
                <w:szCs w:val="21"/>
              </w:rPr>
              <w:t>Case 3b: NG-RAN node assisted positioning with LMF-side model, direct AI/ML positioning</w:t>
            </w:r>
          </w:p>
        </w:tc>
      </w:tr>
    </w:tbl>
    <w:p>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Although there may be no impacts on RAN2, we can list the potential solutions during SI for further discussion. So we can also consider the the model transfer/delivery between network entities.</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Model transfer/delivery between network entities(e.g. gNB and LMF) can be further studied.</w:t>
      </w:r>
    </w:p>
    <w:p>
      <w:pPr>
        <w:widowControl/>
        <w:spacing w:before="120" w:beforeLines="50" w:after="180"/>
        <w:rPr>
          <w:rFonts w:hint="eastAsia" w:ascii="Arial" w:hAnsi="Arial" w:eastAsia="宋体" w:cs="Arial"/>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model transfer/delivery</w:t>
      </w:r>
      <w:r>
        <w:rPr>
          <w:rFonts w:ascii="Arial" w:hAnsi="Arial" w:eastAsia="宋体" w:cs="Arial"/>
          <w:kern w:val="0"/>
          <w:sz w:val="21"/>
          <w:szCs w:val="21"/>
          <w:lang w:val="en-GB" w:eastAsia="en-US"/>
        </w:rPr>
        <w:t>.</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For Solution 1b, the potential options with basic protocol stack change is not pursued in R18, and potential options without basic protocol stack change can be further studied for model transfer/delivery.</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discuss how to transfer a large size model via RRC signaling.</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RAN2 take the solution 2c (i.e. the model is trained at gNB and delivered to CN, then CN transfer/delivery the model to the UE via UP-based solution) for further discussion.</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positioning accuracy enhancement, RAN2 focus on solution 3a firstly,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RAN2 can further study the potential spec impacts on solution 4 for other LCM procedures.</w:t>
      </w:r>
    </w:p>
    <w:p>
      <w:pPr>
        <w:widowControl/>
        <w:spacing w:before="120" w:beforeLines="50" w:after="180"/>
        <w:jc w:val="both"/>
        <w:rPr>
          <w:rFonts w:ascii="Arial" w:hAnsi="Arial" w:eastAsia="宋体" w:cs="Arial"/>
          <w:kern w:val="0"/>
          <w:sz w:val="21"/>
          <w:szCs w:val="21"/>
          <w:lang w:val="en-GB" w:eastAsia="en-US"/>
        </w:rPr>
      </w:pPr>
      <w:r>
        <w:rPr>
          <w:rFonts w:hint="eastAsia" w:ascii="Arial" w:hAnsi="Arial" w:eastAsia="宋体" w:cs="Arial"/>
          <w:b/>
          <w:bCs/>
          <w:kern w:val="0"/>
          <w:sz w:val="20"/>
          <w:szCs w:val="20"/>
          <w:lang w:val="en-US" w:eastAsia="zh-CN"/>
        </w:rPr>
        <w:t>Proposal 7: Model transfer/delivery between network entities(e.g. gNB and LMF) can be further studied.</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#121, Athens, Greece</w:t>
      </w:r>
    </w:p>
    <w:p>
      <w:pPr>
        <w:widowControl/>
        <w:numPr>
          <w:ilvl w:val="0"/>
          <w:numId w:val="9"/>
        </w:numPr>
        <w:overflowPunct w:val="0"/>
        <w:autoSpaceDE w:val="0"/>
        <w:autoSpaceDN w:val="0"/>
        <w:adjustRightInd w:val="0"/>
        <w:spacing w:after="180"/>
        <w:jc w:val="left"/>
        <w:textAlignment w:val="baseline"/>
        <w:rPr>
          <w:sz w:val="20"/>
          <w:szCs w:val="20"/>
          <w:lang w:val="en-GB"/>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302268</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Offline 027 model transfer delivery (Huawei)</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7"/>
  </w:num>
  <w:num w:numId="3">
    <w:abstractNumId w:val="8"/>
  </w:num>
  <w:num w:numId="4">
    <w:abstractNumId w:val="5"/>
  </w:num>
  <w:num w:numId="5">
    <w:abstractNumId w:val="1"/>
  </w:num>
  <w:num w:numId="6">
    <w:abstractNumId w:val="6"/>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4B10"/>
    <w:rsid w:val="01FE2D6C"/>
    <w:rsid w:val="029439C7"/>
    <w:rsid w:val="038A1F16"/>
    <w:rsid w:val="04A37BF0"/>
    <w:rsid w:val="04D74A36"/>
    <w:rsid w:val="05CF31FF"/>
    <w:rsid w:val="06EB297F"/>
    <w:rsid w:val="071830B3"/>
    <w:rsid w:val="072E4FA9"/>
    <w:rsid w:val="07372B6B"/>
    <w:rsid w:val="07535363"/>
    <w:rsid w:val="094470AB"/>
    <w:rsid w:val="09891A74"/>
    <w:rsid w:val="09E033A8"/>
    <w:rsid w:val="09F124DC"/>
    <w:rsid w:val="0A1469F1"/>
    <w:rsid w:val="0A173D8A"/>
    <w:rsid w:val="0A974A3E"/>
    <w:rsid w:val="0B125DA8"/>
    <w:rsid w:val="0BED4B6E"/>
    <w:rsid w:val="0C0C1F3B"/>
    <w:rsid w:val="0C7E283C"/>
    <w:rsid w:val="0CC05689"/>
    <w:rsid w:val="0CD5224C"/>
    <w:rsid w:val="0CE47224"/>
    <w:rsid w:val="0D4A7F23"/>
    <w:rsid w:val="0D711EBE"/>
    <w:rsid w:val="0D771EA7"/>
    <w:rsid w:val="0DCA1CAE"/>
    <w:rsid w:val="0E2222F6"/>
    <w:rsid w:val="0E226524"/>
    <w:rsid w:val="0E4A09D7"/>
    <w:rsid w:val="0E576A3C"/>
    <w:rsid w:val="0F72666A"/>
    <w:rsid w:val="0F8A7784"/>
    <w:rsid w:val="10510B55"/>
    <w:rsid w:val="110171B2"/>
    <w:rsid w:val="123900DB"/>
    <w:rsid w:val="12E6591A"/>
    <w:rsid w:val="13392934"/>
    <w:rsid w:val="14231F17"/>
    <w:rsid w:val="144E5BFE"/>
    <w:rsid w:val="1466786F"/>
    <w:rsid w:val="146D2577"/>
    <w:rsid w:val="14E836E8"/>
    <w:rsid w:val="152B1104"/>
    <w:rsid w:val="15BE553B"/>
    <w:rsid w:val="161147C5"/>
    <w:rsid w:val="16766EE8"/>
    <w:rsid w:val="16A3322F"/>
    <w:rsid w:val="17CD5A7B"/>
    <w:rsid w:val="187A66B9"/>
    <w:rsid w:val="1AA4601E"/>
    <w:rsid w:val="1AB85684"/>
    <w:rsid w:val="1C055EED"/>
    <w:rsid w:val="1C1F5B8F"/>
    <w:rsid w:val="1DE55E1B"/>
    <w:rsid w:val="1EF17AB3"/>
    <w:rsid w:val="1F13603C"/>
    <w:rsid w:val="203D6B05"/>
    <w:rsid w:val="205E7BE3"/>
    <w:rsid w:val="20733ECA"/>
    <w:rsid w:val="20F63843"/>
    <w:rsid w:val="21380790"/>
    <w:rsid w:val="22B32E1B"/>
    <w:rsid w:val="236906A5"/>
    <w:rsid w:val="23700030"/>
    <w:rsid w:val="2375481A"/>
    <w:rsid w:val="23B37A44"/>
    <w:rsid w:val="23F22C5A"/>
    <w:rsid w:val="249D5D77"/>
    <w:rsid w:val="24B445FB"/>
    <w:rsid w:val="25994CE6"/>
    <w:rsid w:val="25A02863"/>
    <w:rsid w:val="25F5013E"/>
    <w:rsid w:val="266D13F7"/>
    <w:rsid w:val="26BA68C7"/>
    <w:rsid w:val="26BB312A"/>
    <w:rsid w:val="26F04D89"/>
    <w:rsid w:val="27896EEB"/>
    <w:rsid w:val="27E92788"/>
    <w:rsid w:val="283167B4"/>
    <w:rsid w:val="28557CCB"/>
    <w:rsid w:val="28682A73"/>
    <w:rsid w:val="29355654"/>
    <w:rsid w:val="2B3F4C1F"/>
    <w:rsid w:val="2B4D1216"/>
    <w:rsid w:val="2BD83F8F"/>
    <w:rsid w:val="2C095760"/>
    <w:rsid w:val="2C520908"/>
    <w:rsid w:val="2D3B7B03"/>
    <w:rsid w:val="2D493ADC"/>
    <w:rsid w:val="2DC747E2"/>
    <w:rsid w:val="2DFB6036"/>
    <w:rsid w:val="2E7432C7"/>
    <w:rsid w:val="2EEF1ACA"/>
    <w:rsid w:val="2EF65D76"/>
    <w:rsid w:val="2F064EC1"/>
    <w:rsid w:val="2FBE43F5"/>
    <w:rsid w:val="30D54010"/>
    <w:rsid w:val="31BF549C"/>
    <w:rsid w:val="31CF3B5F"/>
    <w:rsid w:val="31F81857"/>
    <w:rsid w:val="328C48C3"/>
    <w:rsid w:val="331C59FF"/>
    <w:rsid w:val="3337740D"/>
    <w:rsid w:val="34EB675E"/>
    <w:rsid w:val="351A24AD"/>
    <w:rsid w:val="35552036"/>
    <w:rsid w:val="35AA241A"/>
    <w:rsid w:val="35BF6E19"/>
    <w:rsid w:val="366A3CE4"/>
    <w:rsid w:val="36F84B57"/>
    <w:rsid w:val="375E6705"/>
    <w:rsid w:val="37E92A86"/>
    <w:rsid w:val="38243E54"/>
    <w:rsid w:val="38D76BCF"/>
    <w:rsid w:val="38FC32F5"/>
    <w:rsid w:val="39030A9D"/>
    <w:rsid w:val="396866FD"/>
    <w:rsid w:val="39BC4BE1"/>
    <w:rsid w:val="3AD1465E"/>
    <w:rsid w:val="3B5C6A72"/>
    <w:rsid w:val="3C2A4B41"/>
    <w:rsid w:val="3CA66A58"/>
    <w:rsid w:val="3D5B3EF0"/>
    <w:rsid w:val="3E85416B"/>
    <w:rsid w:val="3ECD0998"/>
    <w:rsid w:val="3ED508CA"/>
    <w:rsid w:val="3FA42170"/>
    <w:rsid w:val="3FAF36DB"/>
    <w:rsid w:val="406A14B3"/>
    <w:rsid w:val="40FA2A46"/>
    <w:rsid w:val="410670A8"/>
    <w:rsid w:val="415F764C"/>
    <w:rsid w:val="41B370D6"/>
    <w:rsid w:val="42212582"/>
    <w:rsid w:val="43146FF6"/>
    <w:rsid w:val="433204F8"/>
    <w:rsid w:val="433C3AAA"/>
    <w:rsid w:val="44801F7B"/>
    <w:rsid w:val="44F46625"/>
    <w:rsid w:val="4599227F"/>
    <w:rsid w:val="45EA2721"/>
    <w:rsid w:val="465A1A33"/>
    <w:rsid w:val="46FE4C6E"/>
    <w:rsid w:val="472064CC"/>
    <w:rsid w:val="478879E7"/>
    <w:rsid w:val="47A524D7"/>
    <w:rsid w:val="47C04462"/>
    <w:rsid w:val="47D84F8A"/>
    <w:rsid w:val="47DB6ABB"/>
    <w:rsid w:val="48083448"/>
    <w:rsid w:val="494B68BA"/>
    <w:rsid w:val="49A97E85"/>
    <w:rsid w:val="4B3E5565"/>
    <w:rsid w:val="4B9F60AA"/>
    <w:rsid w:val="4C265440"/>
    <w:rsid w:val="4C340FD6"/>
    <w:rsid w:val="4D9F212B"/>
    <w:rsid w:val="4DA60CF0"/>
    <w:rsid w:val="4DCF4521"/>
    <w:rsid w:val="4E5D756A"/>
    <w:rsid w:val="50077447"/>
    <w:rsid w:val="5057605B"/>
    <w:rsid w:val="512521C5"/>
    <w:rsid w:val="51A823AB"/>
    <w:rsid w:val="51CC648B"/>
    <w:rsid w:val="522E4D5D"/>
    <w:rsid w:val="528B1069"/>
    <w:rsid w:val="52AE0ABE"/>
    <w:rsid w:val="53D170F4"/>
    <w:rsid w:val="548779A2"/>
    <w:rsid w:val="54B70BFC"/>
    <w:rsid w:val="55846FDD"/>
    <w:rsid w:val="55D24828"/>
    <w:rsid w:val="56581D59"/>
    <w:rsid w:val="56AA0BEB"/>
    <w:rsid w:val="57081EE0"/>
    <w:rsid w:val="57CF4F1B"/>
    <w:rsid w:val="58602168"/>
    <w:rsid w:val="586F79A5"/>
    <w:rsid w:val="58AB4E89"/>
    <w:rsid w:val="58B5550E"/>
    <w:rsid w:val="58BF5B9C"/>
    <w:rsid w:val="594E1B4B"/>
    <w:rsid w:val="598034DF"/>
    <w:rsid w:val="59F53E5B"/>
    <w:rsid w:val="5A245845"/>
    <w:rsid w:val="5A2F5AF5"/>
    <w:rsid w:val="5AFF7905"/>
    <w:rsid w:val="5B0E18F6"/>
    <w:rsid w:val="5B382BDE"/>
    <w:rsid w:val="5B492C91"/>
    <w:rsid w:val="5B6B15AA"/>
    <w:rsid w:val="5BF25754"/>
    <w:rsid w:val="5C1E13B0"/>
    <w:rsid w:val="5C6C3B2F"/>
    <w:rsid w:val="5CE40A94"/>
    <w:rsid w:val="5D3B4F2B"/>
    <w:rsid w:val="5E3E4C2D"/>
    <w:rsid w:val="5EC53874"/>
    <w:rsid w:val="5EE37831"/>
    <w:rsid w:val="5F2F6349"/>
    <w:rsid w:val="5F600D4E"/>
    <w:rsid w:val="5FDC55D3"/>
    <w:rsid w:val="60696BD5"/>
    <w:rsid w:val="60C03CCF"/>
    <w:rsid w:val="60F90E60"/>
    <w:rsid w:val="61592A77"/>
    <w:rsid w:val="626802E1"/>
    <w:rsid w:val="632012CF"/>
    <w:rsid w:val="63A26C03"/>
    <w:rsid w:val="63C01CBD"/>
    <w:rsid w:val="643F3D04"/>
    <w:rsid w:val="64BC2C9E"/>
    <w:rsid w:val="64DA5F38"/>
    <w:rsid w:val="65912A7B"/>
    <w:rsid w:val="65D94399"/>
    <w:rsid w:val="660E4242"/>
    <w:rsid w:val="665D7D32"/>
    <w:rsid w:val="66666C51"/>
    <w:rsid w:val="66BA2385"/>
    <w:rsid w:val="677038E2"/>
    <w:rsid w:val="68FB65DA"/>
    <w:rsid w:val="69293200"/>
    <w:rsid w:val="694347AF"/>
    <w:rsid w:val="694F06EB"/>
    <w:rsid w:val="69766916"/>
    <w:rsid w:val="6AA26939"/>
    <w:rsid w:val="6B9425BB"/>
    <w:rsid w:val="6BE35659"/>
    <w:rsid w:val="6CE3347E"/>
    <w:rsid w:val="6D673555"/>
    <w:rsid w:val="6DC267F1"/>
    <w:rsid w:val="6E083615"/>
    <w:rsid w:val="6E6F0BB4"/>
    <w:rsid w:val="6EB25B0B"/>
    <w:rsid w:val="6EB92134"/>
    <w:rsid w:val="6EC420B6"/>
    <w:rsid w:val="6ED96998"/>
    <w:rsid w:val="6F3364F9"/>
    <w:rsid w:val="70505871"/>
    <w:rsid w:val="706B4405"/>
    <w:rsid w:val="709A7A5C"/>
    <w:rsid w:val="70C52DF1"/>
    <w:rsid w:val="70CE5BDD"/>
    <w:rsid w:val="70D85A71"/>
    <w:rsid w:val="71E95E0C"/>
    <w:rsid w:val="732872C5"/>
    <w:rsid w:val="743D52D7"/>
    <w:rsid w:val="749949A3"/>
    <w:rsid w:val="74BB0D2E"/>
    <w:rsid w:val="75417F6E"/>
    <w:rsid w:val="769E6A1B"/>
    <w:rsid w:val="76DB0D8A"/>
    <w:rsid w:val="771F60E4"/>
    <w:rsid w:val="777F2661"/>
    <w:rsid w:val="77E32042"/>
    <w:rsid w:val="783436C5"/>
    <w:rsid w:val="78786397"/>
    <w:rsid w:val="79C61A14"/>
    <w:rsid w:val="79EC6CEB"/>
    <w:rsid w:val="7A481CA5"/>
    <w:rsid w:val="7B4126B7"/>
    <w:rsid w:val="7C171859"/>
    <w:rsid w:val="7C4E5B9F"/>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1</TotalTime>
  <ScaleCrop>false</ScaleCrop>
  <LinksUpToDate>false</LinksUpToDate>
  <CharactersWithSpaces>14605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2023-04-07T08:54:15Z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73012A8B9A8D4066A580DFC24448CFCB</vt:lpwstr>
  </property>
</Properties>
</file>